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A69C" w14:textId="77777777" w:rsidR="00E258C9" w:rsidRDefault="00F724FF" w:rsidP="00F724FF">
      <w:pPr>
        <w:jc w:val="center"/>
        <w:rPr>
          <w:rFonts w:asciiTheme="majorHAnsi" w:hAnsiTheme="majorHAnsi"/>
          <w:b/>
          <w:sz w:val="28"/>
          <w:u w:val="single"/>
        </w:rPr>
      </w:pPr>
      <w:r w:rsidRPr="00F724FF">
        <w:rPr>
          <w:rFonts w:asciiTheme="majorHAnsi" w:hAnsiTheme="majorHAnsi"/>
          <w:b/>
          <w:sz w:val="28"/>
          <w:u w:val="single"/>
        </w:rPr>
        <w:t>Equality Information &amp; Objectives</w:t>
      </w:r>
    </w:p>
    <w:p w14:paraId="242592DA" w14:textId="77777777" w:rsidR="00F724FF" w:rsidRDefault="00F724FF" w:rsidP="00F724FF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2014 - 2018</w:t>
      </w:r>
    </w:p>
    <w:p w14:paraId="507F896A" w14:textId="77777777" w:rsidR="00F724FF" w:rsidRDefault="00F724FF" w:rsidP="00F724FF">
      <w:pPr>
        <w:jc w:val="center"/>
        <w:rPr>
          <w:rFonts w:asciiTheme="majorHAnsi" w:hAnsiTheme="majorHAnsi"/>
          <w:b/>
          <w:sz w:val="28"/>
          <w:u w:val="single"/>
        </w:rPr>
      </w:pPr>
    </w:p>
    <w:p w14:paraId="47C787A4" w14:textId="77777777" w:rsidR="00F724FF" w:rsidRPr="000C5073" w:rsidRDefault="00F724FF" w:rsidP="00F724FF">
      <w:pPr>
        <w:jc w:val="both"/>
        <w:rPr>
          <w:rFonts w:asciiTheme="majorHAnsi" w:hAnsiTheme="majorHAnsi"/>
          <w:b/>
          <w:sz w:val="28"/>
        </w:rPr>
      </w:pPr>
      <w:r w:rsidRPr="000C5073">
        <w:rPr>
          <w:rFonts w:asciiTheme="majorHAnsi" w:hAnsiTheme="majorHAnsi"/>
          <w:b/>
          <w:sz w:val="28"/>
        </w:rPr>
        <w:t>What is it?</w:t>
      </w:r>
    </w:p>
    <w:p w14:paraId="4CAB7A24" w14:textId="135182A3" w:rsidR="00F724FF" w:rsidRDefault="00F724FF" w:rsidP="00F724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Equality Act 2010 was introduced to ensure protection from discrimination, harassment and </w:t>
      </w:r>
      <w:proofErr w:type="spellStart"/>
      <w:r>
        <w:rPr>
          <w:rFonts w:asciiTheme="majorHAnsi" w:hAnsiTheme="majorHAnsi"/>
        </w:rPr>
        <w:t>victimisation</w:t>
      </w:r>
      <w:proofErr w:type="spellEnd"/>
      <w:r>
        <w:rPr>
          <w:rFonts w:asciiTheme="majorHAnsi" w:hAnsiTheme="majorHAnsi"/>
        </w:rPr>
        <w:t xml:space="preserve"> on the grounds of specific characteristics. For schools, this means that it is unlawful to di</w:t>
      </w:r>
      <w:r w:rsidR="007829F7">
        <w:rPr>
          <w:rFonts w:asciiTheme="majorHAnsi" w:hAnsiTheme="majorHAnsi"/>
        </w:rPr>
        <w:t>scriminate against or treat</w:t>
      </w:r>
      <w:r>
        <w:rPr>
          <w:rFonts w:asciiTheme="majorHAnsi" w:hAnsiTheme="majorHAnsi"/>
        </w:rPr>
        <w:t xml:space="preserve"> others less </w:t>
      </w:r>
      <w:proofErr w:type="spellStart"/>
      <w:r>
        <w:rPr>
          <w:rFonts w:asciiTheme="majorHAnsi" w:hAnsiTheme="majorHAnsi"/>
        </w:rPr>
        <w:t>favourably</w:t>
      </w:r>
      <w:proofErr w:type="spellEnd"/>
      <w:r w:rsidR="007829F7">
        <w:rPr>
          <w:rFonts w:asciiTheme="majorHAnsi" w:hAnsiTheme="majorHAnsi"/>
        </w:rPr>
        <w:t xml:space="preserve"> on the grounds of their gender, race, disability, religion or belief, gender reassignment, sexual orientation,</w:t>
      </w:r>
      <w:r>
        <w:rPr>
          <w:rFonts w:asciiTheme="majorHAnsi" w:hAnsiTheme="majorHAnsi"/>
        </w:rPr>
        <w:t xml:space="preserve"> pregnancy or maternity. Under the Act, the school is expected to comply with the Public Sector Equality Duty (PSED), which requires schools to:</w:t>
      </w:r>
    </w:p>
    <w:p w14:paraId="69798F91" w14:textId="77777777" w:rsidR="00F724FF" w:rsidRDefault="00F724FF" w:rsidP="00F724F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Eliminate unlawful discrimination, harassment and </w:t>
      </w:r>
      <w:proofErr w:type="spellStart"/>
      <w:r>
        <w:rPr>
          <w:rFonts w:asciiTheme="majorHAnsi" w:hAnsiTheme="majorHAnsi"/>
        </w:rPr>
        <w:t>victimisation</w:t>
      </w:r>
      <w:proofErr w:type="spellEnd"/>
      <w:r>
        <w:rPr>
          <w:rFonts w:asciiTheme="majorHAnsi" w:hAnsiTheme="majorHAnsi"/>
        </w:rPr>
        <w:t>;</w:t>
      </w:r>
    </w:p>
    <w:p w14:paraId="77859B5E" w14:textId="77777777" w:rsidR="00F724FF" w:rsidRDefault="00F724FF" w:rsidP="00F724F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Advance equality of opportunity between different groups; and</w:t>
      </w:r>
    </w:p>
    <w:p w14:paraId="5BA6625A" w14:textId="77777777" w:rsidR="00F724FF" w:rsidRDefault="00F724FF" w:rsidP="00F724F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Foster good relations between different groups.</w:t>
      </w:r>
    </w:p>
    <w:p w14:paraId="1918049E" w14:textId="77777777" w:rsidR="00F724FF" w:rsidRDefault="00F724FF" w:rsidP="00F724FF">
      <w:pPr>
        <w:jc w:val="both"/>
        <w:rPr>
          <w:rFonts w:asciiTheme="majorHAnsi" w:hAnsiTheme="majorHAnsi"/>
        </w:rPr>
      </w:pPr>
    </w:p>
    <w:p w14:paraId="4975E6C8" w14:textId="088FCAAF" w:rsidR="00F724FF" w:rsidRDefault="000C5073" w:rsidP="00F724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a public </w:t>
      </w:r>
      <w:proofErr w:type="spellStart"/>
      <w:r>
        <w:rPr>
          <w:rFonts w:asciiTheme="majorHAnsi" w:hAnsiTheme="majorHAnsi"/>
        </w:rPr>
        <w:t>organis</w:t>
      </w:r>
      <w:r w:rsidR="00F724FF">
        <w:rPr>
          <w:rFonts w:asciiTheme="majorHAnsi" w:hAnsiTheme="majorHAnsi"/>
        </w:rPr>
        <w:t>ation</w:t>
      </w:r>
      <w:proofErr w:type="spellEnd"/>
      <w:r w:rsidR="00F724FF">
        <w:rPr>
          <w:rFonts w:asciiTheme="majorHAnsi" w:hAnsiTheme="majorHAnsi"/>
        </w:rPr>
        <w:t>, we are required to:</w:t>
      </w:r>
    </w:p>
    <w:p w14:paraId="4B236823" w14:textId="55D2FE1E" w:rsidR="00F724FF" w:rsidRDefault="00F724FF" w:rsidP="00F724F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Publish information to show compliance with the PSED (vi</w:t>
      </w:r>
      <w:r w:rsidR="000C5073">
        <w:rPr>
          <w:rFonts w:asciiTheme="majorHAnsi" w:hAnsiTheme="majorHAnsi"/>
        </w:rPr>
        <w:t>a the schools Equality Statement</w:t>
      </w:r>
      <w:r>
        <w:rPr>
          <w:rFonts w:asciiTheme="majorHAnsi" w:hAnsiTheme="majorHAnsi"/>
        </w:rPr>
        <w:t>); and</w:t>
      </w:r>
    </w:p>
    <w:p w14:paraId="285EEC9E" w14:textId="77777777" w:rsidR="00F724FF" w:rsidRDefault="00F724FF" w:rsidP="00F724F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Publish Equality Objectives at least once every four years.</w:t>
      </w:r>
    </w:p>
    <w:p w14:paraId="5CA8446F" w14:textId="77777777" w:rsidR="00F724FF" w:rsidRDefault="00F724FF" w:rsidP="00F724FF">
      <w:pPr>
        <w:jc w:val="both"/>
        <w:rPr>
          <w:rFonts w:asciiTheme="majorHAnsi" w:hAnsiTheme="majorHAnsi"/>
        </w:rPr>
      </w:pPr>
    </w:p>
    <w:p w14:paraId="3E564AC3" w14:textId="77777777" w:rsidR="00F724FF" w:rsidRPr="000C5073" w:rsidRDefault="00F724FF" w:rsidP="00F724FF">
      <w:pPr>
        <w:jc w:val="both"/>
        <w:rPr>
          <w:rFonts w:asciiTheme="majorHAnsi" w:hAnsiTheme="majorHAnsi"/>
          <w:b/>
          <w:sz w:val="28"/>
        </w:rPr>
      </w:pPr>
      <w:r w:rsidRPr="000C5073">
        <w:rPr>
          <w:rFonts w:asciiTheme="majorHAnsi" w:hAnsiTheme="majorHAnsi"/>
          <w:b/>
          <w:sz w:val="28"/>
        </w:rPr>
        <w:t xml:space="preserve">What </w:t>
      </w:r>
      <w:proofErr w:type="gramStart"/>
      <w:r w:rsidRPr="000C5073">
        <w:rPr>
          <w:rFonts w:asciiTheme="majorHAnsi" w:hAnsiTheme="majorHAnsi"/>
          <w:b/>
          <w:sz w:val="28"/>
        </w:rPr>
        <w:t>are</w:t>
      </w:r>
      <w:proofErr w:type="gramEnd"/>
      <w:r w:rsidRPr="000C5073">
        <w:rPr>
          <w:rFonts w:asciiTheme="majorHAnsi" w:hAnsiTheme="majorHAnsi"/>
          <w:b/>
          <w:sz w:val="28"/>
        </w:rPr>
        <w:t xml:space="preserve"> the school’s Equality Objectives?</w:t>
      </w:r>
    </w:p>
    <w:p w14:paraId="737854A5" w14:textId="25FEC400" w:rsidR="00C71B64" w:rsidRDefault="00C71B64" w:rsidP="00F724FF">
      <w:pPr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7118"/>
      </w:tblGrid>
      <w:tr w:rsidR="00C800D2" w14:paraId="4DA74C4A" w14:textId="77777777" w:rsidTr="00E36C23">
        <w:tc>
          <w:tcPr>
            <w:tcW w:w="3558" w:type="dxa"/>
          </w:tcPr>
          <w:p w14:paraId="2417B11E" w14:textId="7BF8433C" w:rsidR="00C800D2" w:rsidRPr="004805EC" w:rsidRDefault="00C800D2" w:rsidP="00F724F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 1</w:t>
            </w:r>
          </w:p>
        </w:tc>
        <w:tc>
          <w:tcPr>
            <w:tcW w:w="7118" w:type="dxa"/>
          </w:tcPr>
          <w:p w14:paraId="6368FC63" w14:textId="517FE6AA" w:rsidR="00C800D2" w:rsidRDefault="00C800D2" w:rsidP="00F724F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Narrow the gender attainment gap in Reading and Writing</w:t>
            </w:r>
          </w:p>
        </w:tc>
      </w:tr>
      <w:tr w:rsidR="00C800D2" w14:paraId="413CDADE" w14:textId="77777777" w:rsidTr="00E36C23">
        <w:tc>
          <w:tcPr>
            <w:tcW w:w="3558" w:type="dxa"/>
          </w:tcPr>
          <w:p w14:paraId="3FAD7745" w14:textId="7E38531F" w:rsidR="00C800D2" w:rsidRPr="00C800D2" w:rsidRDefault="00C800D2" w:rsidP="00C71B64">
            <w:pPr>
              <w:rPr>
                <w:rFonts w:asciiTheme="majorHAnsi" w:hAnsiTheme="majorHAnsi"/>
                <w:b/>
                <w:sz w:val="20"/>
              </w:rPr>
            </w:pPr>
            <w:r w:rsidRPr="00C800D2">
              <w:rPr>
                <w:rFonts w:asciiTheme="majorHAnsi" w:hAnsiTheme="majorHAnsi"/>
                <w:b/>
                <w:sz w:val="20"/>
              </w:rPr>
              <w:t>Why we have chosen this objective:</w:t>
            </w:r>
          </w:p>
        </w:tc>
        <w:tc>
          <w:tcPr>
            <w:tcW w:w="7118" w:type="dxa"/>
          </w:tcPr>
          <w:p w14:paraId="07189BB6" w14:textId="5991BB3B" w:rsidR="00C800D2" w:rsidRPr="00C800D2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0"/>
              </w:rPr>
            </w:pPr>
            <w:r w:rsidRPr="00C800D2">
              <w:rPr>
                <w:rFonts w:asciiTheme="majorHAnsi" w:hAnsiTheme="majorHAnsi"/>
                <w:sz w:val="20"/>
              </w:rPr>
              <w:t>Boys attainment at the end of KS1 is lower than girls’ in Reading and Writing;</w:t>
            </w:r>
          </w:p>
          <w:p w14:paraId="69B8F0AD" w14:textId="08EEBF42" w:rsidR="00C800D2" w:rsidRPr="00C800D2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0"/>
              </w:rPr>
            </w:pPr>
            <w:r w:rsidRPr="00C800D2">
              <w:rPr>
                <w:rFonts w:asciiTheme="majorHAnsi" w:hAnsiTheme="majorHAnsi"/>
                <w:sz w:val="20"/>
              </w:rPr>
              <w:t>Attainment gap is widening despite boys making at least as good progress, if not better, than girls;</w:t>
            </w:r>
          </w:p>
          <w:p w14:paraId="3B0EC8DF" w14:textId="601BB563" w:rsidR="00C800D2" w:rsidRPr="00C800D2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</w:rPr>
            </w:pPr>
            <w:r w:rsidRPr="00C800D2">
              <w:rPr>
                <w:rFonts w:asciiTheme="majorHAnsi" w:hAnsiTheme="majorHAnsi"/>
                <w:sz w:val="20"/>
              </w:rPr>
              <w:t>Boys have lower starting points on entry then girls, especially in early reading and writing skills.</w:t>
            </w:r>
          </w:p>
        </w:tc>
      </w:tr>
      <w:tr w:rsidR="00C800D2" w14:paraId="27D37A1E" w14:textId="77777777" w:rsidTr="00E36C23">
        <w:tc>
          <w:tcPr>
            <w:tcW w:w="3558" w:type="dxa"/>
          </w:tcPr>
          <w:p w14:paraId="56A557E8" w14:textId="76F61508" w:rsidR="00C800D2" w:rsidRPr="00C800D2" w:rsidRDefault="00C800D2" w:rsidP="00C71B64">
            <w:pPr>
              <w:rPr>
                <w:rFonts w:asciiTheme="majorHAnsi" w:hAnsiTheme="majorHAnsi"/>
                <w:b/>
                <w:sz w:val="20"/>
              </w:rPr>
            </w:pPr>
            <w:r w:rsidRPr="00C800D2">
              <w:rPr>
                <w:rFonts w:asciiTheme="majorHAnsi" w:hAnsiTheme="majorHAnsi"/>
                <w:b/>
                <w:sz w:val="20"/>
              </w:rPr>
              <w:t>To achieve this objective, we plan to:</w:t>
            </w:r>
          </w:p>
        </w:tc>
        <w:tc>
          <w:tcPr>
            <w:tcW w:w="7118" w:type="dxa"/>
          </w:tcPr>
          <w:p w14:paraId="69E645FD" w14:textId="3A2E6A98" w:rsidR="00C800D2" w:rsidRPr="00C71B64" w:rsidRDefault="00C800D2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C71B64">
              <w:rPr>
                <w:rFonts w:asciiTheme="majorHAnsi" w:hAnsiTheme="majorHAnsi"/>
                <w:sz w:val="20"/>
              </w:rPr>
              <w:t>Increased number of boys achieve L2 or abo</w:t>
            </w:r>
            <w:r>
              <w:rPr>
                <w:rFonts w:asciiTheme="majorHAnsi" w:hAnsiTheme="majorHAnsi"/>
                <w:sz w:val="20"/>
              </w:rPr>
              <w:t>ve (at end of KS1) year on year;</w:t>
            </w:r>
          </w:p>
          <w:p w14:paraId="621539E0" w14:textId="21BC0E9B" w:rsidR="00C800D2" w:rsidRDefault="00C800D2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Meet target of 90% boys achieving L2 or above by end of 2017/18;</w:t>
            </w:r>
          </w:p>
          <w:p w14:paraId="0D8AFB33" w14:textId="46890B6D" w:rsidR="00C800D2" w:rsidRPr="00C800D2" w:rsidRDefault="00C800D2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C800D2">
              <w:rPr>
                <w:rFonts w:asciiTheme="majorHAnsi" w:hAnsiTheme="majorHAnsi"/>
                <w:sz w:val="20"/>
              </w:rPr>
              <w:t>Maintain high levels of achievement for girls</w:t>
            </w:r>
            <w:r>
              <w:rPr>
                <w:rFonts w:asciiTheme="majorHAnsi" w:hAnsiTheme="majorHAnsi"/>
                <w:sz w:val="20"/>
              </w:rPr>
              <w:t>.</w:t>
            </w:r>
          </w:p>
        </w:tc>
      </w:tr>
      <w:tr w:rsidR="00C800D2" w14:paraId="43E919FE" w14:textId="77777777" w:rsidTr="00E36C23">
        <w:tc>
          <w:tcPr>
            <w:tcW w:w="3558" w:type="dxa"/>
          </w:tcPr>
          <w:p w14:paraId="77009947" w14:textId="5A801C48" w:rsidR="00C800D2" w:rsidRPr="00C800D2" w:rsidRDefault="00C800D2" w:rsidP="00C71B64">
            <w:pPr>
              <w:rPr>
                <w:rFonts w:asciiTheme="majorHAnsi" w:hAnsiTheme="majorHAnsi"/>
                <w:b/>
                <w:sz w:val="20"/>
              </w:rPr>
            </w:pPr>
            <w:r w:rsidRPr="00C800D2">
              <w:rPr>
                <w:rFonts w:asciiTheme="majorHAnsi" w:hAnsiTheme="majorHAnsi"/>
                <w:b/>
                <w:sz w:val="20"/>
              </w:rPr>
              <w:t>Progress we are making towards achieving this objective:</w:t>
            </w:r>
          </w:p>
        </w:tc>
        <w:tc>
          <w:tcPr>
            <w:tcW w:w="7118" w:type="dxa"/>
          </w:tcPr>
          <w:p w14:paraId="7954C3D1" w14:textId="5BB16E60" w:rsidR="00C800D2" w:rsidRPr="00C800D2" w:rsidRDefault="00C800D2" w:rsidP="00F724FF">
            <w:pPr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Progress towards this objective will be reviewed at the end of 2013/14.</w:t>
            </w:r>
          </w:p>
        </w:tc>
      </w:tr>
    </w:tbl>
    <w:p w14:paraId="3DA45A65" w14:textId="77777777" w:rsidR="00C71B64" w:rsidRDefault="00C71B64" w:rsidP="00F724FF">
      <w:pPr>
        <w:jc w:val="both"/>
        <w:rPr>
          <w:rFonts w:asciiTheme="majorHAnsi" w:hAnsiTheme="majorHAnsi"/>
          <w:b/>
        </w:rPr>
      </w:pPr>
    </w:p>
    <w:p w14:paraId="1A6BB4C5" w14:textId="77777777" w:rsidR="000C5073" w:rsidRDefault="000C5073" w:rsidP="00F724FF">
      <w:pPr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7118"/>
      </w:tblGrid>
      <w:tr w:rsidR="00C800D2" w14:paraId="175C0120" w14:textId="77777777" w:rsidTr="00C800D2">
        <w:tc>
          <w:tcPr>
            <w:tcW w:w="3558" w:type="dxa"/>
          </w:tcPr>
          <w:p w14:paraId="71F9A673" w14:textId="1A476F74" w:rsidR="00C800D2" w:rsidRPr="004805EC" w:rsidRDefault="00C800D2" w:rsidP="00C800D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 2</w:t>
            </w:r>
          </w:p>
        </w:tc>
        <w:tc>
          <w:tcPr>
            <w:tcW w:w="7118" w:type="dxa"/>
          </w:tcPr>
          <w:p w14:paraId="11738257" w14:textId="5A402D99" w:rsidR="00C800D2" w:rsidRDefault="00C800D2" w:rsidP="00C800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Further improve children’s knowledge, understanding and acceptance of national heritage and cultural diversity.</w:t>
            </w:r>
          </w:p>
        </w:tc>
      </w:tr>
      <w:tr w:rsidR="00C800D2" w14:paraId="31C024E9" w14:textId="77777777" w:rsidTr="00C800D2">
        <w:tc>
          <w:tcPr>
            <w:tcW w:w="3558" w:type="dxa"/>
          </w:tcPr>
          <w:p w14:paraId="3FA3E0F9" w14:textId="77777777" w:rsidR="00C800D2" w:rsidRPr="00C800D2" w:rsidRDefault="00C800D2" w:rsidP="00C800D2">
            <w:pPr>
              <w:rPr>
                <w:rFonts w:asciiTheme="majorHAnsi" w:hAnsiTheme="majorHAnsi"/>
                <w:b/>
                <w:sz w:val="20"/>
              </w:rPr>
            </w:pPr>
            <w:r w:rsidRPr="00C800D2">
              <w:rPr>
                <w:rFonts w:asciiTheme="majorHAnsi" w:hAnsiTheme="majorHAnsi"/>
                <w:b/>
                <w:sz w:val="20"/>
              </w:rPr>
              <w:t>Why we have chosen this objective:</w:t>
            </w:r>
          </w:p>
        </w:tc>
        <w:tc>
          <w:tcPr>
            <w:tcW w:w="7118" w:type="dxa"/>
          </w:tcPr>
          <w:p w14:paraId="1EFA412E" w14:textId="77777777" w:rsidR="00C800D2" w:rsidRPr="00E36C23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0"/>
              </w:rPr>
            </w:pPr>
            <w:r w:rsidRPr="00E36C23">
              <w:rPr>
                <w:rFonts w:asciiTheme="majorHAnsi" w:hAnsiTheme="majorHAnsi"/>
                <w:sz w:val="20"/>
              </w:rPr>
              <w:t>School serves a predominantly White British community;</w:t>
            </w:r>
          </w:p>
          <w:p w14:paraId="1FEF3B3C" w14:textId="77777777" w:rsidR="00C800D2" w:rsidRPr="00E36C23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0"/>
              </w:rPr>
            </w:pPr>
            <w:r w:rsidRPr="00E36C23">
              <w:rPr>
                <w:rFonts w:asciiTheme="majorHAnsi" w:hAnsiTheme="majorHAnsi"/>
                <w:sz w:val="20"/>
              </w:rPr>
              <w:t>% of children from ethnic minority backgrounds or who speak English as an additional language is steadily increasing year on year;</w:t>
            </w:r>
          </w:p>
          <w:p w14:paraId="1023354A" w14:textId="7C71A2B7" w:rsidR="00C800D2" w:rsidRPr="00C800D2" w:rsidRDefault="00E36C23" w:rsidP="00E36C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</w:rPr>
            </w:pPr>
            <w:r w:rsidRPr="00E36C23">
              <w:rPr>
                <w:rFonts w:asciiTheme="majorHAnsi" w:hAnsiTheme="majorHAnsi"/>
                <w:sz w:val="20"/>
              </w:rPr>
              <w:t xml:space="preserve">Awareness of changing </w:t>
            </w:r>
            <w:r>
              <w:rPr>
                <w:rFonts w:asciiTheme="majorHAnsi" w:hAnsiTheme="majorHAnsi"/>
                <w:sz w:val="20"/>
              </w:rPr>
              <w:t>demographic</w:t>
            </w:r>
            <w:r w:rsidRPr="00E36C23">
              <w:rPr>
                <w:rFonts w:asciiTheme="majorHAnsi" w:hAnsiTheme="majorHAnsi"/>
                <w:sz w:val="20"/>
              </w:rPr>
              <w:t xml:space="preserve"> of local community that now has</w:t>
            </w:r>
            <w:r>
              <w:rPr>
                <w:rFonts w:asciiTheme="majorHAnsi" w:hAnsiTheme="majorHAnsi"/>
                <w:sz w:val="20"/>
              </w:rPr>
              <w:t xml:space="preserve"> an increasing number of </w:t>
            </w:r>
            <w:r w:rsidRPr="00E36C23">
              <w:rPr>
                <w:rFonts w:asciiTheme="majorHAnsi" w:hAnsiTheme="majorHAnsi"/>
                <w:sz w:val="20"/>
              </w:rPr>
              <w:t>migrants</w:t>
            </w:r>
            <w:r>
              <w:rPr>
                <w:rFonts w:asciiTheme="majorHAnsi" w:hAnsiTheme="majorHAnsi"/>
                <w:sz w:val="20"/>
              </w:rPr>
              <w:t>.</w:t>
            </w:r>
          </w:p>
        </w:tc>
      </w:tr>
      <w:tr w:rsidR="00C800D2" w14:paraId="51098D54" w14:textId="77777777" w:rsidTr="00C800D2">
        <w:tc>
          <w:tcPr>
            <w:tcW w:w="3558" w:type="dxa"/>
          </w:tcPr>
          <w:p w14:paraId="3354DC5D" w14:textId="37C03D92" w:rsidR="00C800D2" w:rsidRPr="00C800D2" w:rsidRDefault="00C800D2" w:rsidP="00C800D2">
            <w:pPr>
              <w:rPr>
                <w:rFonts w:asciiTheme="majorHAnsi" w:hAnsiTheme="majorHAnsi"/>
                <w:b/>
                <w:sz w:val="20"/>
              </w:rPr>
            </w:pPr>
            <w:r w:rsidRPr="00C800D2">
              <w:rPr>
                <w:rFonts w:asciiTheme="majorHAnsi" w:hAnsiTheme="majorHAnsi"/>
                <w:b/>
                <w:sz w:val="20"/>
              </w:rPr>
              <w:t>To achieve this objective, we plan to:</w:t>
            </w:r>
          </w:p>
        </w:tc>
        <w:tc>
          <w:tcPr>
            <w:tcW w:w="7118" w:type="dxa"/>
          </w:tcPr>
          <w:p w14:paraId="383FF98D" w14:textId="77777777" w:rsidR="00C800D2" w:rsidRDefault="00C800D2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Annually plan and deliver ‘Same but Different’ week across the school and focus this learning on national heritage and cultural diversity;</w:t>
            </w:r>
          </w:p>
          <w:p w14:paraId="4EBD4249" w14:textId="77777777" w:rsidR="00C800D2" w:rsidRDefault="00C800D2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Further extend the range of visitors in school assemblies</w:t>
            </w:r>
            <w:r w:rsidR="00E36C23">
              <w:rPr>
                <w:rFonts w:asciiTheme="majorHAnsi" w:hAnsiTheme="majorHAnsi"/>
                <w:sz w:val="20"/>
              </w:rPr>
              <w:t xml:space="preserve"> to more comprehensively represent the religious and cultural make-up of the school;</w:t>
            </w:r>
          </w:p>
          <w:p w14:paraId="45588BBB" w14:textId="77777777" w:rsidR="00E36C23" w:rsidRDefault="00E36C23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Ensure learning resources represent cultural and religious diversity;</w:t>
            </w:r>
          </w:p>
          <w:p w14:paraId="046926FE" w14:textId="6D146528" w:rsidR="00E36C23" w:rsidRPr="00C800D2" w:rsidRDefault="00E36C23" w:rsidP="00C80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Ensure that the </w:t>
            </w:r>
            <w:r w:rsidR="0038078E">
              <w:rPr>
                <w:rFonts w:asciiTheme="majorHAnsi" w:hAnsiTheme="majorHAnsi"/>
                <w:sz w:val="20"/>
              </w:rPr>
              <w:t>school’s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</w:rPr>
              <w:t xml:space="preserve"> History and Geography curriculum provision is focused on British heritage and countries linked to ethnic minority children’s countries of origin.</w:t>
            </w:r>
          </w:p>
        </w:tc>
      </w:tr>
      <w:tr w:rsidR="00C800D2" w14:paraId="748BB3B4" w14:textId="77777777" w:rsidTr="00C800D2">
        <w:tc>
          <w:tcPr>
            <w:tcW w:w="3558" w:type="dxa"/>
          </w:tcPr>
          <w:p w14:paraId="767FC30B" w14:textId="70F56643" w:rsidR="00C800D2" w:rsidRPr="00C800D2" w:rsidRDefault="00C800D2" w:rsidP="00C800D2">
            <w:pPr>
              <w:rPr>
                <w:rFonts w:asciiTheme="majorHAnsi" w:hAnsiTheme="majorHAnsi"/>
                <w:b/>
                <w:sz w:val="20"/>
              </w:rPr>
            </w:pPr>
            <w:r w:rsidRPr="00C800D2">
              <w:rPr>
                <w:rFonts w:asciiTheme="majorHAnsi" w:hAnsiTheme="majorHAnsi"/>
                <w:b/>
                <w:sz w:val="20"/>
              </w:rPr>
              <w:t>Progress we are making towards achieving this objective:</w:t>
            </w:r>
          </w:p>
        </w:tc>
        <w:tc>
          <w:tcPr>
            <w:tcW w:w="7118" w:type="dxa"/>
          </w:tcPr>
          <w:p w14:paraId="1E6A715D" w14:textId="11265DDE" w:rsidR="00C800D2" w:rsidRDefault="00C800D2" w:rsidP="00C800D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20"/>
              </w:rPr>
              <w:t>Progress towards this objective will be reviewed at the end of 2013/14.</w:t>
            </w:r>
          </w:p>
        </w:tc>
      </w:tr>
    </w:tbl>
    <w:p w14:paraId="5065F1CA" w14:textId="77777777" w:rsidR="00C800D2" w:rsidRDefault="00C800D2" w:rsidP="00F724FF">
      <w:pPr>
        <w:jc w:val="both"/>
        <w:rPr>
          <w:rFonts w:asciiTheme="majorHAnsi" w:hAnsiTheme="majorHAnsi"/>
          <w:b/>
        </w:rPr>
      </w:pPr>
    </w:p>
    <w:p w14:paraId="0065D78B" w14:textId="77777777" w:rsidR="00F724FF" w:rsidRPr="00F724FF" w:rsidRDefault="00F724FF" w:rsidP="00F724FF">
      <w:pPr>
        <w:jc w:val="both"/>
        <w:rPr>
          <w:rFonts w:asciiTheme="majorHAnsi" w:hAnsiTheme="majorHAnsi"/>
        </w:rPr>
      </w:pPr>
    </w:p>
    <w:sectPr w:rsidR="00F724FF" w:rsidRPr="00F724FF" w:rsidSect="00F7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2E54" w14:textId="77777777" w:rsidR="007829F7" w:rsidRDefault="007829F7" w:rsidP="00F724FF">
      <w:r>
        <w:separator/>
      </w:r>
    </w:p>
  </w:endnote>
  <w:endnote w:type="continuationSeparator" w:id="0">
    <w:p w14:paraId="3FECB3EF" w14:textId="77777777" w:rsidR="007829F7" w:rsidRDefault="007829F7" w:rsidP="00F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9A294" w14:textId="77777777" w:rsidR="007829F7" w:rsidRDefault="007829F7" w:rsidP="00782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E6B78" w14:textId="77777777" w:rsidR="007829F7" w:rsidRDefault="007829F7" w:rsidP="00E36C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CB80" w14:textId="77777777" w:rsidR="007829F7" w:rsidRPr="00E36C23" w:rsidRDefault="007829F7" w:rsidP="007829F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E36C23">
      <w:rPr>
        <w:rStyle w:val="PageNumber"/>
        <w:rFonts w:asciiTheme="majorHAnsi" w:hAnsiTheme="majorHAnsi"/>
        <w:sz w:val="20"/>
      </w:rPr>
      <w:fldChar w:fldCharType="begin"/>
    </w:r>
    <w:r w:rsidRPr="00E36C23">
      <w:rPr>
        <w:rStyle w:val="PageNumber"/>
        <w:rFonts w:asciiTheme="majorHAnsi" w:hAnsiTheme="majorHAnsi"/>
        <w:sz w:val="20"/>
      </w:rPr>
      <w:instrText xml:space="preserve">PAGE  </w:instrText>
    </w:r>
    <w:r w:rsidRPr="00E36C23">
      <w:rPr>
        <w:rStyle w:val="PageNumber"/>
        <w:rFonts w:asciiTheme="majorHAnsi" w:hAnsiTheme="majorHAnsi"/>
        <w:sz w:val="20"/>
      </w:rPr>
      <w:fldChar w:fldCharType="separate"/>
    </w:r>
    <w:r w:rsidR="0038078E">
      <w:rPr>
        <w:rStyle w:val="PageNumber"/>
        <w:rFonts w:asciiTheme="majorHAnsi" w:hAnsiTheme="majorHAnsi"/>
        <w:noProof/>
        <w:sz w:val="20"/>
      </w:rPr>
      <w:t>1</w:t>
    </w:r>
    <w:r w:rsidRPr="00E36C23">
      <w:rPr>
        <w:rStyle w:val="PageNumber"/>
        <w:rFonts w:asciiTheme="majorHAnsi" w:hAnsiTheme="majorHAnsi"/>
        <w:sz w:val="20"/>
      </w:rPr>
      <w:fldChar w:fldCharType="end"/>
    </w:r>
  </w:p>
  <w:p w14:paraId="3F181630" w14:textId="26B81682" w:rsidR="007829F7" w:rsidRPr="00E36C23" w:rsidRDefault="007829F7" w:rsidP="00E36C23">
    <w:pPr>
      <w:pStyle w:val="Footer"/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Equality Information &amp; Objectives – 05/2014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BB29" w14:textId="77777777" w:rsidR="007829F7" w:rsidRDefault="00782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987B" w14:textId="77777777" w:rsidR="007829F7" w:rsidRDefault="007829F7" w:rsidP="00F724FF">
      <w:r>
        <w:separator/>
      </w:r>
    </w:p>
  </w:footnote>
  <w:footnote w:type="continuationSeparator" w:id="0">
    <w:p w14:paraId="2CC57D13" w14:textId="77777777" w:rsidR="007829F7" w:rsidRDefault="007829F7" w:rsidP="00F7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DA0C4" w14:textId="54EBC0BC" w:rsidR="007829F7" w:rsidRDefault="0038078E">
    <w:pPr>
      <w:pStyle w:val="Header"/>
    </w:pPr>
    <w:r>
      <w:rPr>
        <w:noProof/>
      </w:rPr>
      <w:pict w14:anchorId="734DC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416pt;height:469.3pt;z-index:-251657216;mso-wrap-edited:f;mso-position-horizontal:center;mso-position-horizontal-relative:margin;mso-position-vertical:center;mso-position-vertical-relative:margin" wrapcoords="-38 0 -38 21530 21600 21530 21600 0 -38 0">
          <v:imagedata r:id="rId1" o:title="School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B8E6" w14:textId="212BF920" w:rsidR="007829F7" w:rsidRDefault="0038078E">
    <w:pPr>
      <w:pStyle w:val="Header"/>
    </w:pPr>
    <w:r>
      <w:rPr>
        <w:noProof/>
      </w:rPr>
      <w:pict w14:anchorId="2F010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416pt;height:469.3pt;z-index:-251658240;mso-wrap-edited:f;mso-position-horizontal:center;mso-position-horizontal-relative:margin;mso-position-vertical:center;mso-position-vertical-relative:margin" wrapcoords="-38 0 -38 21530 21600 21530 21600 0 -38 0">
          <v:imagedata r:id="rId1" o:title="School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DC9C" w14:textId="0A24397A" w:rsidR="007829F7" w:rsidRDefault="0038078E">
    <w:pPr>
      <w:pStyle w:val="Header"/>
    </w:pPr>
    <w:r>
      <w:rPr>
        <w:noProof/>
      </w:rPr>
      <w:pict w14:anchorId="2ABDA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416pt;height:469.3pt;z-index:-251656192;mso-wrap-edited:f;mso-position-horizontal:center;mso-position-horizontal-relative:margin;mso-position-vertical:center;mso-position-vertical-relative:margin" wrapcoords="-38 0 -38 21530 21600 21530 21600 0 -38 0">
          <v:imagedata r:id="rId1" o:title="School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759"/>
    <w:multiLevelType w:val="hybridMultilevel"/>
    <w:tmpl w:val="8B7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F1B47"/>
    <w:multiLevelType w:val="hybridMultilevel"/>
    <w:tmpl w:val="533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0E7C"/>
    <w:multiLevelType w:val="hybridMultilevel"/>
    <w:tmpl w:val="76F88D6E"/>
    <w:lvl w:ilvl="0" w:tplc="E608409E">
      <w:start w:val="20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AB24EA"/>
    <w:multiLevelType w:val="hybridMultilevel"/>
    <w:tmpl w:val="8D322048"/>
    <w:lvl w:ilvl="0" w:tplc="2AF2EFC2">
      <w:start w:val="20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FF"/>
    <w:rsid w:val="000C5073"/>
    <w:rsid w:val="0038078E"/>
    <w:rsid w:val="004132FD"/>
    <w:rsid w:val="004805EC"/>
    <w:rsid w:val="005E5095"/>
    <w:rsid w:val="007829F7"/>
    <w:rsid w:val="00C71B64"/>
    <w:rsid w:val="00C800D2"/>
    <w:rsid w:val="00E258C9"/>
    <w:rsid w:val="00E36C23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1C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FF"/>
  </w:style>
  <w:style w:type="paragraph" w:styleId="Footer">
    <w:name w:val="footer"/>
    <w:basedOn w:val="Normal"/>
    <w:link w:val="FooterChar"/>
    <w:uiPriority w:val="99"/>
    <w:unhideWhenUsed/>
    <w:rsid w:val="00F7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FF"/>
  </w:style>
  <w:style w:type="paragraph" w:styleId="ListParagraph">
    <w:name w:val="List Paragraph"/>
    <w:basedOn w:val="Normal"/>
    <w:uiPriority w:val="34"/>
    <w:qFormat/>
    <w:rsid w:val="00F724FF"/>
    <w:pPr>
      <w:ind w:left="720"/>
      <w:contextualSpacing/>
    </w:pPr>
  </w:style>
  <w:style w:type="table" w:styleId="TableGrid">
    <w:name w:val="Table Grid"/>
    <w:basedOn w:val="TableNormal"/>
    <w:uiPriority w:val="59"/>
    <w:rsid w:val="00F7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6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FF"/>
  </w:style>
  <w:style w:type="paragraph" w:styleId="Footer">
    <w:name w:val="footer"/>
    <w:basedOn w:val="Normal"/>
    <w:link w:val="FooterChar"/>
    <w:uiPriority w:val="99"/>
    <w:unhideWhenUsed/>
    <w:rsid w:val="00F7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FF"/>
  </w:style>
  <w:style w:type="paragraph" w:styleId="ListParagraph">
    <w:name w:val="List Paragraph"/>
    <w:basedOn w:val="Normal"/>
    <w:uiPriority w:val="34"/>
    <w:qFormat/>
    <w:rsid w:val="00F724FF"/>
    <w:pPr>
      <w:ind w:left="720"/>
      <w:contextualSpacing/>
    </w:pPr>
  </w:style>
  <w:style w:type="table" w:styleId="TableGrid">
    <w:name w:val="Table Grid"/>
    <w:basedOn w:val="TableNormal"/>
    <w:uiPriority w:val="59"/>
    <w:rsid w:val="00F7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Infant School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Tracey Gaskin</cp:lastModifiedBy>
  <cp:revision>5</cp:revision>
  <dcterms:created xsi:type="dcterms:W3CDTF">2014-05-12T14:13:00Z</dcterms:created>
  <dcterms:modified xsi:type="dcterms:W3CDTF">2021-03-23T11:54:00Z</dcterms:modified>
</cp:coreProperties>
</file>